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auto"/>
          <w:spacing w:val="0"/>
          <w:position w:val="0"/>
          <w:sz w:val="22"/>
          <w:shd w:fill="auto" w:val="clear"/>
        </w:rPr>
      </w:pPr>
      <w:r>
        <w:object w:dxaOrig="9989" w:dyaOrig="3149">
          <v:rect xmlns:o="urn:schemas-microsoft-com:office:office" xmlns:v="urn:schemas-microsoft-com:vml" id="rectole0000000000" style="width:499.450000pt;height:157.4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keepNext w:val="true"/>
        <w:keepLines w:val="true"/>
        <w:spacing w:before="40" w:after="0" w:line="259"/>
        <w:ind w:right="0" w:left="0" w:firstLine="0"/>
        <w:jc w:val="left"/>
        <w:rPr>
          <w:rFonts w:ascii="Calibri Light" w:hAnsi="Calibri Light" w:cs="Calibri Light" w:eastAsia="Calibri Light"/>
          <w:color w:val="1F4D78"/>
          <w:spacing w:val="0"/>
          <w:position w:val="0"/>
          <w:sz w:val="24"/>
          <w:shd w:fill="auto" w:val="clear"/>
        </w:rPr>
      </w:pPr>
      <w:r>
        <w:rPr>
          <w:rFonts w:ascii="Calibri Light" w:hAnsi="Calibri Light" w:cs="Calibri Light" w:eastAsia="Calibri Light"/>
          <w:color w:val="1F4D78"/>
          <w:spacing w:val="0"/>
          <w:position w:val="0"/>
          <w:sz w:val="24"/>
          <w:shd w:fill="auto" w:val="clear"/>
        </w:rPr>
        <w:t xml:space="preserve"> Our services:</w:t>
      </w:r>
      <w:r>
        <w:rPr>
          <w:rFonts w:ascii="Titillium Web" w:hAnsi="Titillium Web" w:cs="Titillium Web" w:eastAsia="Titillium Web"/>
          <w:b/>
          <w:color w:val="444444"/>
          <w:spacing w:val="0"/>
          <w:position w:val="0"/>
          <w:sz w:val="45"/>
          <w:shd w:fill="auto" w:val="clear"/>
        </w:rPr>
        <w:t xml:space="preserve"> Our services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br/>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Titillium Web" w:hAnsi="Titillium Web" w:cs="Titillium Web" w:eastAsia="Titillium Web"/>
          <w:color w:val="626262"/>
          <w:spacing w:val="0"/>
          <w:position w:val="0"/>
          <w:sz w:val="22"/>
          <w:shd w:fill="auto" w:val="clear"/>
        </w:rPr>
        <w:t xml:space="preserve">PCES office and Newtwork team Globally known for our ability satisfactory services to handle every last detail of our customers’ particular logistics and forwarding needs, Project handling, Multimodal Transportation Special Services team takes care with responsibility of all your Valuable import/ Export goods logistics.</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Titillium Web" w:hAnsi="Titillium Web" w:cs="Titillium Web" w:eastAsia="Titillium Web"/>
          <w:color w:val="626262"/>
          <w:spacing w:val="0"/>
          <w:position w:val="0"/>
          <w:sz w:val="22"/>
          <w:shd w:fill="auto" w:val="clear"/>
        </w:rPr>
      </w:pPr>
    </w:p>
    <w:p>
      <w:pPr>
        <w:spacing w:before="0" w:after="160" w:line="259"/>
        <w:ind w:right="0" w:left="0" w:firstLine="0"/>
        <w:jc w:val="left"/>
        <w:rPr>
          <w:rFonts w:ascii="Titillium Web" w:hAnsi="Titillium Web" w:cs="Titillium Web" w:eastAsia="Titillium Web"/>
          <w:color w:val="626262"/>
          <w:spacing w:val="0"/>
          <w:position w:val="0"/>
          <w:sz w:val="22"/>
          <w:shd w:fill="auto" w:val="clear"/>
        </w:rPr>
      </w:pPr>
    </w:p>
    <w:p>
      <w:pPr>
        <w:spacing w:before="0" w:after="160" w:line="259"/>
        <w:ind w:right="0" w:left="0" w:firstLine="0"/>
        <w:jc w:val="left"/>
        <w:rPr>
          <w:rFonts w:ascii="Calibri" w:hAnsi="Calibri" w:cs="Calibri" w:eastAsia="Calibri"/>
          <w:color w:val="FF0000"/>
          <w:spacing w:val="0"/>
          <w:position w:val="0"/>
          <w:sz w:val="22"/>
          <w:shd w:fill="auto" w:val="clear"/>
        </w:rPr>
      </w:pPr>
      <w:r>
        <w:rPr>
          <w:rFonts w:ascii="Calibri" w:hAnsi="Calibri" w:cs="Calibri" w:eastAsia="Calibri"/>
          <w:color w:val="FF0000"/>
          <w:spacing w:val="0"/>
          <w:position w:val="0"/>
          <w:sz w:val="22"/>
          <w:shd w:fill="auto" w:val="clear"/>
        </w:rPr>
        <w:t xml:space="preserve">Home </w:t>
      </w:r>
    </w:p>
    <w:p>
      <w:pPr>
        <w:keepNext w:val="true"/>
        <w:keepLines w:val="true"/>
        <w:spacing w:before="40" w:after="0" w:line="259"/>
        <w:ind w:right="0" w:left="0" w:firstLine="0"/>
        <w:jc w:val="left"/>
        <w:rPr>
          <w:rFonts w:ascii="Titillium Web" w:hAnsi="Titillium Web" w:cs="Titillium Web" w:eastAsia="Titillium Web"/>
          <w:b/>
          <w:color w:val="FF0000"/>
          <w:spacing w:val="0"/>
          <w:position w:val="0"/>
          <w:sz w:val="24"/>
          <w:shd w:fill="auto" w:val="clear"/>
        </w:rPr>
      </w:pPr>
      <w:r>
        <w:rPr>
          <w:rFonts w:ascii="Calibri Light" w:hAnsi="Calibri Light" w:cs="Calibri Light" w:eastAsia="Calibri Light"/>
          <w:color w:val="1F4D78"/>
          <w:spacing w:val="0"/>
          <w:position w:val="0"/>
          <w:sz w:val="24"/>
          <w:shd w:fill="auto" w:val="clear"/>
        </w:rPr>
        <w:t xml:space="preserve"> </w:t>
      </w:r>
      <w:r>
        <w:rPr>
          <w:rFonts w:ascii="Titillium Web" w:hAnsi="Titillium Web" w:cs="Titillium Web" w:eastAsia="Titillium Web"/>
          <w:b/>
          <w:color w:val="444444"/>
          <w:spacing w:val="0"/>
          <w:position w:val="0"/>
          <w:sz w:val="45"/>
          <w:shd w:fill="auto" w:val="clear"/>
        </w:rPr>
        <w:t xml:space="preserve">About </w:t>
      </w:r>
      <w:r>
        <w:rPr>
          <w:rFonts w:ascii="Titillium Web" w:hAnsi="Titillium Web" w:cs="Titillium Web" w:eastAsia="Titillium Web"/>
          <w:b/>
          <w:color w:val="FF0000"/>
          <w:spacing w:val="0"/>
          <w:position w:val="0"/>
          <w:sz w:val="24"/>
          <w:shd w:fill="auto" w:val="clear"/>
        </w:rPr>
        <w:t xml:space="preserve">PEREFECT CARGO EXIM SOLUTIONS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br/>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Titillium Web" w:hAnsi="Titillium Web" w:cs="Titillium Web" w:eastAsia="Titillium Web"/>
          <w:color w:val="626262"/>
          <w:spacing w:val="0"/>
          <w:position w:val="0"/>
          <w:sz w:val="22"/>
          <w:shd w:fill="auto" w:val="clear"/>
        </w:rPr>
        <w:t xml:space="preserve">Perfect Cargo Exim Solutions began its odyssey in 2015 from DELHI, India as its Head Office New Delhi   India and now has Mumbai branches, Associates partners across the major cities of India. Over the last two decades Perfect Cargo Exim Solutions has evolved into a international logistics service provider of repute. Covering the whole gamut of services including Air and Ocean forwarding, Inland Road, Rail transportation, Warehousing &amp; Distribution and also Customs clearance  Project, heavy Equipment, Machine , Agricultural, Pharmaceuticals, Industrial , Electronics ,Textile  ,&amp; Exim Consultancy services Strength of Perfect Cargo Exim Solutions, derived from its very experienced staff and also its strong network of Global partners and strategically located network of 21 Overseas Agents branches across India.</w:t>
      </w:r>
    </w:p>
    <w:p>
      <w:pPr>
        <w:numPr>
          <w:ilvl w:val="0"/>
          <w:numId w:val="6"/>
        </w:numPr>
        <w:spacing w:before="0" w:after="160" w:line="259"/>
        <w:ind w:right="0" w:left="720" w:hanging="360"/>
        <w:jc w:val="left"/>
        <w:rPr>
          <w:rFonts w:ascii="Titillium Web" w:hAnsi="Titillium Web" w:cs="Titillium Web" w:eastAsia="Titillium Web"/>
          <w:color w:val="626262"/>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Titillium Web" w:hAnsi="Titillium Web" w:cs="Titillium Web" w:eastAsia="Titillium Web"/>
          <w:color w:val="626262"/>
          <w:spacing w:val="0"/>
          <w:position w:val="0"/>
          <w:sz w:val="22"/>
          <w:shd w:fill="auto" w:val="clear"/>
        </w:rPr>
        <w:t xml:space="preserve">PCES office and Newtwork team Globally known for our ability satisfactory services to handle every last detail of our customers’ particular logistics and forwarding needs, Project handling, Multimodal Transportation Special Services team takes care with responsibility of all your Valuable import/ Export goods logistics.</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Services:</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FF0000"/>
          <w:spacing w:val="0"/>
          <w:position w:val="0"/>
          <w:sz w:val="22"/>
          <w:shd w:fill="auto" w:val="clear"/>
        </w:rPr>
      </w:pPr>
      <w:r>
        <w:rPr>
          <w:rFonts w:ascii="Calibri" w:hAnsi="Calibri" w:cs="Calibri" w:eastAsia="Calibri"/>
          <w:color w:val="FF0000"/>
          <w:spacing w:val="0"/>
          <w:position w:val="0"/>
          <w:sz w:val="22"/>
          <w:shd w:fill="auto" w:val="clear"/>
        </w:rPr>
        <w:t xml:space="preserve">NEWS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Titillium Web" w:hAnsi="Titillium Web" w:cs="Titillium Web" w:eastAsia="Titillium Web"/>
          <w:color w:val="626262"/>
          <w:spacing w:val="0"/>
          <w:position w:val="0"/>
          <w:sz w:val="22"/>
          <w:shd w:fill="auto" w:val="clear"/>
        </w:rPr>
        <w:t xml:space="preserve">When negotiating an international sales contract, both parties need to pay as much attention to the terms of sale as to the sales price. To make it as clear as possible, an international set of trade terms (INCOTERMS) has been adopted by most countries that defines exactly the responsibilities and risks of both the buyer and seller including while the merchandise is in transit. The following chart summarizes the responsibilities of both the buyer and seller for each of the current 13 INCOTERMS. In addition, a definition for each term is included at the bottom of the page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Titillium Web" w:hAnsi="Titillium Web" w:cs="Titillium Web" w:eastAsia="Titillium Web"/>
          <w:b/>
          <w:color w:val="626262"/>
          <w:spacing w:val="0"/>
          <w:position w:val="0"/>
          <w:sz w:val="22"/>
          <w:shd w:fill="auto" w:val="clear"/>
        </w:rPr>
        <w:t xml:space="preserve">Origin Terms</w:t>
      </w:r>
      <w:r>
        <w:rPr>
          <w:rFonts w:ascii="Calibri" w:hAnsi="Calibri" w:cs="Calibri" w:eastAsia="Calibri"/>
          <w:color w:val="auto"/>
          <w:spacing w:val="0"/>
          <w:position w:val="0"/>
          <w:sz w:val="22"/>
          <w:shd w:fill="auto" w:val="clear"/>
        </w:rPr>
        <w:br/>
        <w:br/>
      </w:r>
      <w:r>
        <w:rPr>
          <w:rFonts w:ascii="Titillium Web" w:hAnsi="Titillium Web" w:cs="Titillium Web" w:eastAsia="Titillium Web"/>
          <w:b/>
          <w:color w:val="626262"/>
          <w:spacing w:val="0"/>
          <w:position w:val="0"/>
          <w:sz w:val="22"/>
          <w:shd w:fill="auto" w:val="clear"/>
        </w:rPr>
        <w:t xml:space="preserve">EXW - Ex-Works, named place where shipment is available to the buyer, not loaded.</w:t>
      </w:r>
      <w:r>
        <w:rPr>
          <w:rFonts w:ascii="Calibri" w:hAnsi="Calibri" w:cs="Calibri" w:eastAsia="Calibri"/>
          <w:color w:val="auto"/>
          <w:spacing w:val="0"/>
          <w:position w:val="0"/>
          <w:sz w:val="22"/>
          <w:shd w:fill="auto" w:val="clear"/>
        </w:rPr>
        <w:br/>
      </w:r>
      <w:r>
        <w:rPr>
          <w:rFonts w:ascii="Titillium Web" w:hAnsi="Titillium Web" w:cs="Titillium Web" w:eastAsia="Titillium Web"/>
          <w:b/>
          <w:color w:val="626262"/>
          <w:spacing w:val="0"/>
          <w:position w:val="0"/>
          <w:sz w:val="22"/>
          <w:shd w:fill="auto" w:val="clear"/>
        </w:rPr>
        <w:t xml:space="preserve">The seller will not contract for any transportation.</w:t>
      </w:r>
      <w:r>
        <w:rPr>
          <w:rFonts w:ascii="Calibri" w:hAnsi="Calibri" w:cs="Calibri" w:eastAsia="Calibri"/>
          <w:color w:val="auto"/>
          <w:spacing w:val="0"/>
          <w:position w:val="0"/>
          <w:sz w:val="22"/>
          <w:shd w:fill="auto" w:val="clear"/>
        </w:rPr>
        <w:br/>
        <w:br/>
      </w:r>
      <w:r>
        <w:rPr>
          <w:rFonts w:ascii="Titillium Web" w:hAnsi="Titillium Web" w:cs="Titillium Web" w:eastAsia="Titillium Web"/>
          <w:b/>
          <w:color w:val="626262"/>
          <w:spacing w:val="0"/>
          <w:position w:val="0"/>
          <w:sz w:val="22"/>
          <w:shd w:fill="auto" w:val="clear"/>
        </w:rPr>
        <w:t xml:space="preserve">International Carriage NOT Paid by Seller</w:t>
      </w:r>
      <w:r>
        <w:rPr>
          <w:rFonts w:ascii="Calibri" w:hAnsi="Calibri" w:cs="Calibri" w:eastAsia="Calibri"/>
          <w:color w:val="auto"/>
          <w:spacing w:val="0"/>
          <w:position w:val="0"/>
          <w:sz w:val="22"/>
          <w:shd w:fill="auto" w:val="clear"/>
        </w:rPr>
        <w:br/>
        <w:br/>
      </w:r>
      <w:r>
        <w:rPr>
          <w:rFonts w:ascii="Titillium Web" w:hAnsi="Titillium Web" w:cs="Titillium Web" w:eastAsia="Titillium Web"/>
          <w:b/>
          <w:color w:val="626262"/>
          <w:spacing w:val="0"/>
          <w:position w:val="0"/>
          <w:sz w:val="22"/>
          <w:shd w:fill="auto" w:val="clear"/>
        </w:rPr>
        <w:t xml:space="preserve">FCA</w:t>
      </w:r>
      <w:r>
        <w:rPr>
          <w:rFonts w:ascii="Titillium Web" w:hAnsi="Titillium Web" w:cs="Titillium Web" w:eastAsia="Titillium Web"/>
          <w:color w:val="626262"/>
          <w:spacing w:val="0"/>
          <w:position w:val="0"/>
          <w:sz w:val="22"/>
          <w:shd w:fill="auto" w:val="clear"/>
        </w:rPr>
        <w:t xml:space="preserve"> - Free Carrier, unloaded at the seller's dock OR a named place where shipment is available to the international carrier or agent, not loaded. This term can be used for any mode of transport.</w:t>
      </w:r>
      <w:r>
        <w:rPr>
          <w:rFonts w:ascii="Calibri" w:hAnsi="Calibri" w:cs="Calibri" w:eastAsia="Calibri"/>
          <w:color w:val="auto"/>
          <w:spacing w:val="0"/>
          <w:position w:val="0"/>
          <w:sz w:val="22"/>
          <w:shd w:fill="auto" w:val="clear"/>
        </w:rPr>
        <w:br/>
        <w:br/>
      </w:r>
      <w:r>
        <w:rPr>
          <w:rFonts w:ascii="Titillium Web" w:hAnsi="Titillium Web" w:cs="Titillium Web" w:eastAsia="Titillium Web"/>
          <w:color w:val="626262"/>
          <w:spacing w:val="0"/>
          <w:position w:val="0"/>
          <w:sz w:val="22"/>
          <w:shd w:fill="auto" w:val="clear"/>
        </w:rPr>
        <w:t xml:space="preserve">FAS - Free Alongside Ship, named ocean port of shipment. Ocean shipments that are NOT containerized.</w:t>
      </w:r>
      <w:r>
        <w:rPr>
          <w:rFonts w:ascii="Calibri" w:hAnsi="Calibri" w:cs="Calibri" w:eastAsia="Calibri"/>
          <w:color w:val="auto"/>
          <w:spacing w:val="0"/>
          <w:position w:val="0"/>
          <w:sz w:val="22"/>
          <w:shd w:fill="auto" w:val="clear"/>
        </w:rPr>
        <w:br/>
        <w:br/>
      </w:r>
      <w:r>
        <w:rPr>
          <w:rFonts w:ascii="Titillium Web" w:hAnsi="Titillium Web" w:cs="Titillium Web" w:eastAsia="Titillium Web"/>
          <w:color w:val="626262"/>
          <w:spacing w:val="0"/>
          <w:position w:val="0"/>
          <w:sz w:val="22"/>
          <w:shd w:fill="auto" w:val="clear"/>
        </w:rPr>
        <w:t xml:space="preserve">FOB - Free On Board vessel, named ocean port of shipment. This term is used for ocean shipments only where it is important that the goods pass the ship's rail.</w:t>
      </w:r>
      <w:r>
        <w:rPr>
          <w:rFonts w:ascii="Calibri" w:hAnsi="Calibri" w:cs="Calibri" w:eastAsia="Calibri"/>
          <w:color w:val="auto"/>
          <w:spacing w:val="0"/>
          <w:position w:val="0"/>
          <w:sz w:val="22"/>
          <w:shd w:fill="auto" w:val="clear"/>
        </w:rPr>
        <w:br/>
        <w:br/>
      </w:r>
      <w:r>
        <w:rPr>
          <w:rFonts w:ascii="Titillium Web" w:hAnsi="Titillium Web" w:cs="Titillium Web" w:eastAsia="Titillium Web"/>
          <w:color w:val="626262"/>
          <w:spacing w:val="0"/>
          <w:position w:val="0"/>
          <w:sz w:val="22"/>
          <w:shd w:fill="auto" w:val="clear"/>
        </w:rPr>
        <w:t xml:space="preserve">International Carriage Paid by the Seller</w:t>
      </w:r>
      <w:r>
        <w:rPr>
          <w:rFonts w:ascii="Calibri" w:hAnsi="Calibri" w:cs="Calibri" w:eastAsia="Calibri"/>
          <w:color w:val="auto"/>
          <w:spacing w:val="0"/>
          <w:position w:val="0"/>
          <w:sz w:val="22"/>
          <w:shd w:fill="auto" w:val="clear"/>
        </w:rPr>
        <w:br/>
        <w:br/>
      </w:r>
      <w:r>
        <w:rPr>
          <w:rFonts w:ascii="Titillium Web" w:hAnsi="Titillium Web" w:cs="Titillium Web" w:eastAsia="Titillium Web"/>
          <w:color w:val="626262"/>
          <w:spacing w:val="0"/>
          <w:position w:val="0"/>
          <w:sz w:val="22"/>
          <w:shd w:fill="auto" w:val="clear"/>
        </w:rPr>
        <w:t xml:space="preserve">CFR - Cost and Freight, Named ocean port , Air Port of destination. This term is used for ocean shipments that are not containerized.</w:t>
      </w:r>
      <w:r>
        <w:rPr>
          <w:rFonts w:ascii="Calibri" w:hAnsi="Calibri" w:cs="Calibri" w:eastAsia="Calibri"/>
          <w:color w:val="auto"/>
          <w:spacing w:val="0"/>
          <w:position w:val="0"/>
          <w:sz w:val="22"/>
          <w:shd w:fill="auto" w:val="clear"/>
        </w:rPr>
        <w:br/>
        <w:br/>
      </w:r>
      <w:r>
        <w:rPr>
          <w:rFonts w:ascii="Titillium Web" w:hAnsi="Titillium Web" w:cs="Titillium Web" w:eastAsia="Titillium Web"/>
          <w:color w:val="626262"/>
          <w:spacing w:val="0"/>
          <w:position w:val="0"/>
          <w:sz w:val="22"/>
          <w:shd w:fill="auto" w:val="clear"/>
        </w:rPr>
        <w:t xml:space="preserve">CIF - Cost, Insurance and Freight, named ocean port of destination. This term is used for ocean shipments that are not containerized.</w:t>
      </w:r>
      <w:r>
        <w:rPr>
          <w:rFonts w:ascii="Calibri" w:hAnsi="Calibri" w:cs="Calibri" w:eastAsia="Calibri"/>
          <w:color w:val="auto"/>
          <w:spacing w:val="0"/>
          <w:position w:val="0"/>
          <w:sz w:val="22"/>
          <w:shd w:fill="auto" w:val="clear"/>
        </w:rPr>
        <w:br/>
        <w:br/>
      </w:r>
      <w:r>
        <w:rPr>
          <w:rFonts w:ascii="Titillium Web" w:hAnsi="Titillium Web" w:cs="Titillium Web" w:eastAsia="Titillium Web"/>
          <w:color w:val="626262"/>
          <w:spacing w:val="0"/>
          <w:position w:val="0"/>
          <w:sz w:val="22"/>
          <w:shd w:fill="auto" w:val="clear"/>
        </w:rPr>
        <w:t xml:space="preserve">CPT - Carriage Paid To, named place or port of destination. This term is used for air or ocean containerized and roll-on roll-off shipments.</w:t>
      </w:r>
      <w:r>
        <w:rPr>
          <w:rFonts w:ascii="Calibri" w:hAnsi="Calibri" w:cs="Calibri" w:eastAsia="Calibri"/>
          <w:color w:val="auto"/>
          <w:spacing w:val="0"/>
          <w:position w:val="0"/>
          <w:sz w:val="22"/>
          <w:shd w:fill="auto" w:val="clear"/>
        </w:rPr>
        <w:br/>
        <w:br/>
      </w:r>
      <w:r>
        <w:rPr>
          <w:rFonts w:ascii="Titillium Web" w:hAnsi="Titillium Web" w:cs="Titillium Web" w:eastAsia="Titillium Web"/>
          <w:color w:val="626262"/>
          <w:spacing w:val="0"/>
          <w:position w:val="0"/>
          <w:sz w:val="22"/>
          <w:shd w:fill="auto" w:val="clear"/>
        </w:rPr>
        <w:t xml:space="preserve">CIP - Carriage and Insurance Paid To, named place or port of destination. This term is used for air or ocean containerized and roll-on roll-off shipments.</w:t>
      </w:r>
      <w:r>
        <w:rPr>
          <w:rFonts w:ascii="Calibri" w:hAnsi="Calibri" w:cs="Calibri" w:eastAsia="Calibri"/>
          <w:color w:val="auto"/>
          <w:spacing w:val="0"/>
          <w:position w:val="0"/>
          <w:sz w:val="22"/>
          <w:shd w:fill="auto" w:val="clear"/>
        </w:rPr>
        <w:br/>
        <w:br/>
      </w:r>
      <w:r>
        <w:rPr>
          <w:rFonts w:ascii="Titillium Web" w:hAnsi="Titillium Web" w:cs="Titillium Web" w:eastAsia="Titillium Web"/>
          <w:color w:val="626262"/>
          <w:spacing w:val="0"/>
          <w:position w:val="0"/>
          <w:sz w:val="22"/>
          <w:shd w:fill="auto" w:val="clear"/>
        </w:rPr>
        <w:t xml:space="preserve">DAT </w:t>
      </w:r>
      <w:r>
        <w:rPr>
          <w:rFonts w:ascii="Calibri" w:hAnsi="Calibri" w:cs="Calibri" w:eastAsia="Calibri"/>
          <w:color w:val="626262"/>
          <w:spacing w:val="0"/>
          <w:position w:val="0"/>
          <w:sz w:val="22"/>
          <w:shd w:fill="auto" w:val="clear"/>
        </w:rPr>
        <w:t xml:space="preserve">– Seller pays for carriage to the terminal, except for costs related to import clearance, and assumes all risks up to the point that the goods are unloaded at the terminal.</w:t>
      </w:r>
      <w:r>
        <w:rPr>
          <w:rFonts w:ascii="Calibri" w:hAnsi="Calibri" w:cs="Calibri" w:eastAsia="Calibri"/>
          <w:color w:val="auto"/>
          <w:spacing w:val="0"/>
          <w:position w:val="0"/>
          <w:sz w:val="22"/>
          <w:shd w:fill="auto" w:val="clear"/>
        </w:rPr>
        <w:br/>
        <w:br/>
      </w:r>
      <w:r>
        <w:rPr>
          <w:rFonts w:ascii="Calibri" w:hAnsi="Calibri" w:cs="Calibri" w:eastAsia="Calibri"/>
          <w:color w:val="626262"/>
          <w:spacing w:val="0"/>
          <w:position w:val="0"/>
          <w:sz w:val="22"/>
          <w:shd w:fill="auto" w:val="clear"/>
        </w:rPr>
        <w:t xml:space="preserve">DAP </w:t>
      </w:r>
      <w:r>
        <w:rPr>
          <w:rFonts w:ascii="Calibri" w:hAnsi="Calibri" w:cs="Calibri" w:eastAsia="Calibri"/>
          <w:color w:val="626262"/>
          <w:spacing w:val="0"/>
          <w:position w:val="0"/>
          <w:sz w:val="22"/>
          <w:shd w:fill="auto" w:val="clear"/>
        </w:rPr>
        <w:t xml:space="preserve">– Seller pays for carriage to the named place, except for costs related to import clearance, and assumes all risks prior to the point that the goods are ready for unloading by the buyer.</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GLOBAL NETWORK</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PHOTO : FOLDER B</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40"/>
        <w:ind w:right="0" w:left="0" w:firstLine="0"/>
        <w:jc w:val="left"/>
        <w:rPr>
          <w:rFonts w:ascii="Calibri" w:hAnsi="Calibri" w:cs="Calibri" w:eastAsia="Calibri"/>
          <w:color w:val="auto"/>
          <w:spacing w:val="0"/>
          <w:position w:val="0"/>
          <w:sz w:val="22"/>
          <w:shd w:fill="auto" w:val="clear"/>
        </w:rPr>
      </w:pPr>
      <w:r>
        <w:object w:dxaOrig="8640" w:dyaOrig="5190">
          <v:rect xmlns:o="urn:schemas-microsoft-com:office:office" xmlns:v="urn:schemas-microsoft-com:vml" id="rectole0000000001" style="width:432.000000pt;height:259.5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FF0000"/>
          <w:spacing w:val="0"/>
          <w:position w:val="0"/>
          <w:sz w:val="18"/>
          <w:shd w:fill="FFFF00" w:val="clear"/>
        </w:rPr>
      </w:pPr>
      <w:r>
        <w:rPr>
          <w:rFonts w:ascii="Calibri" w:hAnsi="Calibri" w:cs="Calibri" w:eastAsia="Calibri"/>
          <w:color w:val="FF0000"/>
          <w:spacing w:val="0"/>
          <w:position w:val="0"/>
          <w:sz w:val="20"/>
          <w:shd w:fill="FFFF00" w:val="clear"/>
        </w:rPr>
        <w:t xml:space="preserve">BUSINESS PARTNER /Associates /OVERSEAS AGENT S IN THE GLOBAL NETWORK .. USA, EUROPE, ASIA, AFRICA, ACROSS The  INDIA.</w:t>
      </w:r>
      <w:r>
        <w:rPr>
          <w:rFonts w:ascii="Calibri" w:hAnsi="Calibri" w:cs="Calibri" w:eastAsia="Calibri"/>
          <w:color w:val="FF0000"/>
          <w:spacing w:val="0"/>
          <w:position w:val="0"/>
          <w:sz w:val="20"/>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AWARDS &amp; ACHIEVEMENTS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PHOTO:</w:t>
      </w:r>
    </w:p>
    <w:p>
      <w:pPr>
        <w:spacing w:before="0" w:after="16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16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DWONLOAD:</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UPLOAD /DOCS</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b/>
          <w:color w:val="FF0000"/>
          <w:spacing w:val="0"/>
          <w:position w:val="0"/>
          <w:sz w:val="22"/>
          <w:shd w:fill="auto" w:val="clear"/>
        </w:rPr>
      </w:pPr>
      <w:r>
        <w:rPr>
          <w:rFonts w:ascii="Calibri" w:hAnsi="Calibri" w:cs="Calibri" w:eastAsia="Calibri"/>
          <w:b/>
          <w:color w:val="FF0000"/>
          <w:spacing w:val="0"/>
          <w:position w:val="0"/>
          <w:sz w:val="22"/>
          <w:shd w:fill="auto" w:val="clear"/>
        </w:rPr>
        <w:t xml:space="preserve">KYC, LETTER .</w:t>
      </w:r>
    </w:p>
    <w:p>
      <w:pPr>
        <w:spacing w:before="0" w:after="160" w:line="259"/>
        <w:ind w:right="0" w:left="0" w:firstLine="0"/>
        <w:jc w:val="left"/>
        <w:rPr>
          <w:rFonts w:ascii="Calibri" w:hAnsi="Calibri" w:cs="Calibri" w:eastAsia="Calibri"/>
          <w:b/>
          <w:color w:val="FF0000"/>
          <w:spacing w:val="0"/>
          <w:position w:val="0"/>
          <w:sz w:val="22"/>
          <w:shd w:fill="auto" w:val="clear"/>
        </w:rPr>
      </w:pPr>
      <w:r>
        <w:rPr>
          <w:rFonts w:ascii="Calibri" w:hAnsi="Calibri" w:cs="Calibri" w:eastAsia="Calibri"/>
          <w:b/>
          <w:color w:val="FF0000"/>
          <w:spacing w:val="0"/>
          <w:position w:val="0"/>
          <w:sz w:val="22"/>
          <w:shd w:fill="auto" w:val="clear"/>
        </w:rPr>
        <w:t xml:space="preserve">CHA/CB AUTHORITY LETTER.</w:t>
      </w:r>
    </w:p>
    <w:p>
      <w:pPr>
        <w:spacing w:before="0" w:after="160" w:line="259"/>
        <w:ind w:right="0" w:left="0" w:firstLine="0"/>
        <w:jc w:val="left"/>
        <w:rPr>
          <w:rFonts w:ascii="Calibri" w:hAnsi="Calibri" w:cs="Calibri" w:eastAsia="Calibri"/>
          <w:b/>
          <w:color w:val="FF0000"/>
          <w:spacing w:val="0"/>
          <w:position w:val="0"/>
          <w:sz w:val="22"/>
          <w:shd w:fill="auto" w:val="clear"/>
        </w:rPr>
      </w:pPr>
      <w:r>
        <w:rPr>
          <w:rFonts w:ascii="Calibri" w:hAnsi="Calibri" w:cs="Calibri" w:eastAsia="Calibri"/>
          <w:b/>
          <w:color w:val="FF0000"/>
          <w:spacing w:val="0"/>
          <w:position w:val="0"/>
          <w:sz w:val="22"/>
          <w:shd w:fill="auto" w:val="clear"/>
        </w:rPr>
        <w:t xml:space="preserve">BANK AD CODE LETTER</w:t>
      </w:r>
    </w:p>
    <w:p>
      <w:pPr>
        <w:spacing w:before="0" w:after="160" w:line="259"/>
        <w:ind w:right="0" w:left="0" w:firstLine="0"/>
        <w:jc w:val="left"/>
        <w:rPr>
          <w:rFonts w:ascii="Calibri" w:hAnsi="Calibri" w:cs="Calibri" w:eastAsia="Calibri"/>
          <w:b/>
          <w:color w:val="FF0000"/>
          <w:spacing w:val="0"/>
          <w:position w:val="0"/>
          <w:sz w:val="22"/>
          <w:shd w:fill="auto" w:val="clear"/>
        </w:rPr>
      </w:pPr>
      <w:r>
        <w:rPr>
          <w:rFonts w:ascii="Calibri" w:hAnsi="Calibri" w:cs="Calibri" w:eastAsia="Calibri"/>
          <w:b/>
          <w:color w:val="FF0000"/>
          <w:spacing w:val="0"/>
          <w:position w:val="0"/>
          <w:sz w:val="22"/>
          <w:shd w:fill="auto" w:val="clear"/>
        </w:rPr>
        <w:t xml:space="preserve">SHIPPING INSTRUCITON.</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RESOURCES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&gt; </w:t>
      </w:r>
      <w:hyperlink xmlns:r="http://schemas.openxmlformats.org/officeDocument/2006/relationships" r:id="docRId4">
        <w:r>
          <w:rPr>
            <w:rFonts w:ascii="Calibri" w:hAnsi="Calibri" w:cs="Calibri" w:eastAsia="Calibri"/>
            <w:color w:val="0000FF"/>
            <w:spacing w:val="0"/>
            <w:position w:val="0"/>
            <w:sz w:val="22"/>
            <w:u w:val="single"/>
            <w:shd w:fill="auto" w:val="clear"/>
          </w:rPr>
          <w:t xml:space="preserve">https://www.icegate.gov.in/</w:t>
        </w:r>
      </w:hyperlink>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&gt;</w:t>
      </w:r>
      <w:hyperlink xmlns:r="http://schemas.openxmlformats.org/officeDocument/2006/relationships" r:id="docRId5">
        <w:r>
          <w:rPr>
            <w:rFonts w:ascii="Calibri" w:hAnsi="Calibri" w:cs="Calibri" w:eastAsia="Calibri"/>
            <w:color w:val="0000FF"/>
            <w:spacing w:val="0"/>
            <w:position w:val="0"/>
            <w:sz w:val="22"/>
            <w:u w:val="single"/>
            <w:shd w:fill="auto" w:val="clear"/>
          </w:rPr>
          <w:t xml:space="preserve">https://cbic-gst.gov.in/</w:t>
        </w:r>
      </w:hyperlink>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&gt;</w:t>
      </w:r>
      <w:hyperlink xmlns:r="http://schemas.openxmlformats.org/officeDocument/2006/relationships" r:id="docRId6">
        <w:r>
          <w:rPr>
            <w:rFonts w:ascii="Calibri" w:hAnsi="Calibri" w:cs="Calibri" w:eastAsia="Calibri"/>
            <w:color w:val="0000FF"/>
            <w:spacing w:val="0"/>
            <w:position w:val="0"/>
            <w:sz w:val="22"/>
            <w:u w:val="single"/>
            <w:shd w:fill="auto" w:val="clear"/>
          </w:rPr>
          <w:t xml:space="preserve">https://www.dgft.gov.in/CP/</w:t>
        </w:r>
      </w:hyperlink>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&gt; </w:t>
      </w:r>
      <w:hyperlink xmlns:r="http://schemas.openxmlformats.org/officeDocument/2006/relationships" r:id="docRId7">
        <w:r>
          <w:rPr>
            <w:rFonts w:ascii="Calibri" w:hAnsi="Calibri" w:cs="Calibri" w:eastAsia="Calibri"/>
            <w:color w:val="0000FF"/>
            <w:spacing w:val="0"/>
            <w:position w:val="0"/>
            <w:sz w:val="22"/>
            <w:u w:val="single"/>
            <w:shd w:fill="auto" w:val="clear"/>
          </w:rPr>
          <w:t xml:space="preserve">https://www.gst.gov.in/</w:t>
        </w:r>
      </w:hyperlink>
      <w:r>
        <w:rPr>
          <w:rFonts w:ascii="Calibri" w:hAnsi="Calibri" w:cs="Calibri" w:eastAsia="Calibri"/>
          <w:color w:val="auto"/>
          <w:spacing w:val="0"/>
          <w:position w:val="0"/>
          <w:sz w:val="22"/>
          <w:shd w:fill="auto" w:val="clear"/>
        </w:rPr>
        <w:br/>
        <w:t xml:space="preserve">&gt;</w:t>
      </w:r>
      <w:hyperlink xmlns:r="http://schemas.openxmlformats.org/officeDocument/2006/relationships" r:id="docRId8">
        <w:r>
          <w:rPr>
            <w:rFonts w:ascii="Calibri" w:hAnsi="Calibri" w:cs="Calibri" w:eastAsia="Calibri"/>
            <w:color w:val="0000FF"/>
            <w:spacing w:val="0"/>
            <w:position w:val="0"/>
            <w:sz w:val="22"/>
            <w:u w:val="single"/>
            <w:shd w:fill="auto" w:val="clear"/>
          </w:rPr>
          <w:t xml:space="preserve">https://concorindia.co.in/containerquery.aspx</w:t>
        </w:r>
      </w:hyperlink>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&gt;</w:t>
      </w:r>
      <w:hyperlink xmlns:r="http://schemas.openxmlformats.org/officeDocument/2006/relationships" r:id="docRId9">
        <w:r>
          <w:rPr>
            <w:rFonts w:ascii="Calibri" w:hAnsi="Calibri" w:cs="Calibri" w:eastAsia="Calibri"/>
            <w:color w:val="0000FF"/>
            <w:spacing w:val="0"/>
            <w:position w:val="0"/>
            <w:sz w:val="22"/>
            <w:u w:val="single"/>
            <w:shd w:fill="auto" w:val="clear"/>
          </w:rPr>
          <w:t xml:space="preserve">http://delhicustoms.gov.in/</w:t>
        </w:r>
      </w:hyperlink>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CONTACT US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EVERY PAGE MENTIONED :   9990123434 &amp; 9311194235.</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EMAIL: </w:t>
      </w:r>
      <w:hyperlink xmlns:r="http://schemas.openxmlformats.org/officeDocument/2006/relationships" r:id="docRId10">
        <w:r>
          <w:rPr>
            <w:rFonts w:ascii="Calibri" w:hAnsi="Calibri" w:cs="Calibri" w:eastAsia="Calibri"/>
            <w:color w:val="0563C1"/>
            <w:spacing w:val="0"/>
            <w:position w:val="0"/>
            <w:sz w:val="22"/>
            <w:u w:val="single"/>
            <w:shd w:fill="auto" w:val="clear"/>
          </w:rPr>
          <w:t xml:space="preserve">Perfectcargo.exim@gmail.com</w:t>
        </w:r>
      </w:hyperlink>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Www: perfectcargoexim.com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TRACKING</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6">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1.wmf" Id="docRId3" Type="http://schemas.openxmlformats.org/officeDocument/2006/relationships/image" /><Relationship TargetMode="External" Target="https://www.gst.gov.in/" Id="docRId7" Type="http://schemas.openxmlformats.org/officeDocument/2006/relationships/hyperlink" /><Relationship TargetMode="External" Target="mailto:Perfectcargo.exim@gmail.com" Id="docRId10" Type="http://schemas.openxmlformats.org/officeDocument/2006/relationships/hyperlink" /><Relationship Target="embeddings/oleObject1.bin" Id="docRId2" Type="http://schemas.openxmlformats.org/officeDocument/2006/relationships/oleObject" /><Relationship TargetMode="External" Target="https://www.dgft.gov.in/CP/" Id="docRId6" Type="http://schemas.openxmlformats.org/officeDocument/2006/relationships/hyperlink" /><Relationship Target="media/image0.wmf" Id="docRId1" Type="http://schemas.openxmlformats.org/officeDocument/2006/relationships/image" /><Relationship Target="numbering.xml" Id="docRId11" Type="http://schemas.openxmlformats.org/officeDocument/2006/relationships/numbering" /><Relationship TargetMode="External" Target="https://cbic-gst.gov.in/" Id="docRId5" Type="http://schemas.openxmlformats.org/officeDocument/2006/relationships/hyperlink" /><Relationship TargetMode="External" Target="http://delhicustoms.gov.in/" Id="docRId9" Type="http://schemas.openxmlformats.org/officeDocument/2006/relationships/hyperlink" /><Relationship Target="embeddings/oleObject0.bin" Id="docRId0" Type="http://schemas.openxmlformats.org/officeDocument/2006/relationships/oleObject" /><Relationship Target="styles.xml" Id="docRId12" Type="http://schemas.openxmlformats.org/officeDocument/2006/relationships/styles" /><Relationship TargetMode="External" Target="https://www.icegate.gov.in/" Id="docRId4" Type="http://schemas.openxmlformats.org/officeDocument/2006/relationships/hyperlink" /><Relationship TargetMode="External" Target="https://concorindia.co.in/containerquery.aspx" Id="docRId8" Type="http://schemas.openxmlformats.org/officeDocument/2006/relationships/hyperlink" /></Relationships>
</file>